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69D3" w14:textId="693DFAC9" w:rsidR="00432EFD" w:rsidRPr="00713057" w:rsidRDefault="00432EFD" w:rsidP="00713057">
      <w:pPr>
        <w:pStyle w:val="NoSpacing"/>
        <w:jc w:val="center"/>
        <w:rPr>
          <w:b/>
          <w:bCs/>
          <w:noProof/>
          <w:sz w:val="24"/>
          <w:szCs w:val="24"/>
        </w:rPr>
      </w:pPr>
      <w:r w:rsidRPr="00713057">
        <w:rPr>
          <w:b/>
          <w:bCs/>
          <w:noProof/>
          <w:sz w:val="24"/>
          <w:szCs w:val="24"/>
        </w:rPr>
        <w:t>Department Email Template</w:t>
      </w:r>
    </w:p>
    <w:p w14:paraId="16714558" w14:textId="4B230B70" w:rsidR="00432EFD" w:rsidRPr="00713057" w:rsidRDefault="00621A3F" w:rsidP="00713057">
      <w:pPr>
        <w:pStyle w:val="NoSpacing"/>
        <w:rPr>
          <w:noProof/>
          <w:sz w:val="24"/>
          <w:szCs w:val="24"/>
        </w:rPr>
      </w:pPr>
      <w:r w:rsidRPr="00713057">
        <w:rPr>
          <w:b/>
          <w:bCs/>
          <w:noProof/>
          <w:sz w:val="24"/>
          <w:szCs w:val="24"/>
        </w:rPr>
        <w:t>Send Date:</w:t>
      </w:r>
      <w:r w:rsidRPr="00713057">
        <w:rPr>
          <w:noProof/>
          <w:sz w:val="24"/>
          <w:szCs w:val="24"/>
        </w:rPr>
        <w:t xml:space="preserve"> </w:t>
      </w:r>
      <w:r w:rsidR="00381729">
        <w:rPr>
          <w:noProof/>
          <w:sz w:val="24"/>
          <w:szCs w:val="24"/>
        </w:rPr>
        <w:t xml:space="preserve"> Week of April 27</w:t>
      </w:r>
    </w:p>
    <w:p w14:paraId="6D4CBA1A" w14:textId="4E0AD5AE" w:rsidR="00432EFD" w:rsidRPr="00713057" w:rsidRDefault="00432EFD" w:rsidP="00713057">
      <w:pPr>
        <w:pStyle w:val="NoSpacing"/>
        <w:rPr>
          <w:noProof/>
          <w:sz w:val="24"/>
          <w:szCs w:val="24"/>
        </w:rPr>
      </w:pPr>
      <w:r w:rsidRPr="00713057">
        <w:rPr>
          <w:b/>
          <w:bCs/>
          <w:noProof/>
          <w:sz w:val="24"/>
          <w:szCs w:val="24"/>
        </w:rPr>
        <w:t>Email Subject:</w:t>
      </w:r>
      <w:r w:rsidRPr="00713057">
        <w:rPr>
          <w:noProof/>
          <w:sz w:val="24"/>
          <w:szCs w:val="24"/>
        </w:rPr>
        <w:t xml:space="preserve"> </w:t>
      </w:r>
      <w:r w:rsidR="005D0E03" w:rsidRPr="00713057">
        <w:rPr>
          <w:noProof/>
          <w:sz w:val="24"/>
          <w:szCs w:val="24"/>
        </w:rPr>
        <w:t>Together in Well-Being: Mind, Heart, Body, Spirit</w:t>
      </w:r>
    </w:p>
    <w:p w14:paraId="20C50E1B" w14:textId="51DACFDA" w:rsidR="00E3214F" w:rsidRDefault="005D0E03" w:rsidP="00E3214F">
      <w:r>
        <w:rPr>
          <w:noProof/>
        </w:rPr>
        <w:drawing>
          <wp:inline distT="0" distB="0" distL="0" distR="0" wp14:anchorId="5264B7E2" wp14:editId="1B0DDD1F">
            <wp:extent cx="6858000" cy="2603500"/>
            <wp:effectExtent l="0" t="0" r="0" b="6350"/>
            <wp:docPr id="1032998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98553" name="Picture 10329985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F82F" w14:textId="77777777" w:rsidR="009F3C68" w:rsidRDefault="009F3C68" w:rsidP="00713057">
      <w:pPr>
        <w:pStyle w:val="NoSpacing"/>
        <w:rPr>
          <w:sz w:val="24"/>
          <w:szCs w:val="24"/>
        </w:rPr>
      </w:pPr>
      <w:r w:rsidRPr="00713057">
        <w:rPr>
          <w:sz w:val="24"/>
          <w:szCs w:val="24"/>
        </w:rPr>
        <w:t xml:space="preserve">Dear Colleagues, </w:t>
      </w:r>
    </w:p>
    <w:p w14:paraId="31F634C6" w14:textId="77777777" w:rsidR="00713057" w:rsidRPr="00713057" w:rsidRDefault="00713057" w:rsidP="00713057">
      <w:pPr>
        <w:pStyle w:val="NoSpacing"/>
        <w:rPr>
          <w:sz w:val="24"/>
          <w:szCs w:val="24"/>
        </w:rPr>
      </w:pPr>
    </w:p>
    <w:p w14:paraId="03281CD6" w14:textId="09479AE4" w:rsidR="005D0E03" w:rsidRDefault="005D0E03" w:rsidP="00713057">
      <w:pPr>
        <w:pStyle w:val="NoSpacing"/>
        <w:rPr>
          <w:sz w:val="24"/>
          <w:szCs w:val="24"/>
        </w:rPr>
      </w:pPr>
      <w:r w:rsidRPr="00713057">
        <w:rPr>
          <w:sz w:val="24"/>
          <w:szCs w:val="24"/>
        </w:rPr>
        <w:t xml:space="preserve">This May, in recognition of Mental Health Awareness Month, SFHSS is launching the </w:t>
      </w:r>
      <w:r w:rsidRPr="00713057">
        <w:rPr>
          <w:b/>
          <w:bCs/>
          <w:sz w:val="24"/>
          <w:szCs w:val="24"/>
        </w:rPr>
        <w:t xml:space="preserve">Together in Well-Being: Mind, Heart, Body, Spirit </w:t>
      </w:r>
      <w:r w:rsidRPr="00713057">
        <w:rPr>
          <w:sz w:val="24"/>
          <w:szCs w:val="24"/>
        </w:rPr>
        <w:t xml:space="preserve">campaign to support employee well-being. </w:t>
      </w:r>
    </w:p>
    <w:p w14:paraId="13050824" w14:textId="77777777" w:rsidR="00713057" w:rsidRPr="00713057" w:rsidRDefault="00713057" w:rsidP="00713057">
      <w:pPr>
        <w:pStyle w:val="NoSpacing"/>
        <w:rPr>
          <w:sz w:val="24"/>
          <w:szCs w:val="24"/>
        </w:rPr>
      </w:pPr>
    </w:p>
    <w:p w14:paraId="1D250779" w14:textId="7038FFF6" w:rsidR="005D0E03" w:rsidRDefault="005D0E03" w:rsidP="00713057">
      <w:pPr>
        <w:pStyle w:val="NoSpacing"/>
        <w:rPr>
          <w:sz w:val="24"/>
          <w:szCs w:val="24"/>
        </w:rPr>
      </w:pPr>
      <w:r w:rsidRPr="00713057">
        <w:rPr>
          <w:sz w:val="24"/>
          <w:szCs w:val="24"/>
        </w:rPr>
        <w:t>Throughout the month, you will have the opportunity to explore simple strategies and resources to help nourish your mind, heart, body</w:t>
      </w:r>
      <w:r w:rsidR="00D5328C" w:rsidRPr="00713057">
        <w:rPr>
          <w:sz w:val="24"/>
          <w:szCs w:val="24"/>
        </w:rPr>
        <w:t xml:space="preserve">, </w:t>
      </w:r>
      <w:r w:rsidR="005631FB" w:rsidRPr="00713057">
        <w:rPr>
          <w:sz w:val="24"/>
          <w:szCs w:val="24"/>
        </w:rPr>
        <w:t xml:space="preserve">and </w:t>
      </w:r>
      <w:r w:rsidR="00D5328C" w:rsidRPr="00713057">
        <w:rPr>
          <w:sz w:val="24"/>
          <w:szCs w:val="24"/>
        </w:rPr>
        <w:t>spirit</w:t>
      </w:r>
      <w:r w:rsidR="005631FB" w:rsidRPr="00713057">
        <w:rPr>
          <w:sz w:val="24"/>
          <w:szCs w:val="24"/>
        </w:rPr>
        <w:t xml:space="preserve">. There will be plenty of activities to try something new or continue healthy habits that already support your well-being. This campaign encourages reflection, connection, movement, and curiosity to help you discover what works best for you.  </w:t>
      </w:r>
    </w:p>
    <w:p w14:paraId="3D6261CB" w14:textId="77777777" w:rsidR="00713057" w:rsidRPr="00713057" w:rsidRDefault="00713057" w:rsidP="00713057">
      <w:pPr>
        <w:pStyle w:val="NoSpacing"/>
        <w:rPr>
          <w:sz w:val="24"/>
          <w:szCs w:val="24"/>
        </w:rPr>
      </w:pPr>
    </w:p>
    <w:p w14:paraId="569AEDD5" w14:textId="32BE5927" w:rsidR="005631FB" w:rsidRDefault="005631FB" w:rsidP="00713057">
      <w:pPr>
        <w:pStyle w:val="NoSpacing"/>
        <w:rPr>
          <w:sz w:val="24"/>
          <w:szCs w:val="24"/>
        </w:rPr>
      </w:pPr>
      <w:r w:rsidRPr="00713057">
        <w:rPr>
          <w:sz w:val="24"/>
          <w:szCs w:val="24"/>
        </w:rPr>
        <w:t xml:space="preserve">We also invite you to participate in the </w:t>
      </w:r>
      <w:r w:rsidRPr="00713057">
        <w:rPr>
          <w:b/>
          <w:bCs/>
          <w:sz w:val="24"/>
          <w:szCs w:val="24"/>
        </w:rPr>
        <w:t>Together in Well-Being Challenge</w:t>
      </w:r>
      <w:r w:rsidRPr="00713057">
        <w:rPr>
          <w:sz w:val="24"/>
          <w:szCs w:val="24"/>
        </w:rPr>
        <w:t xml:space="preserve"> by engaging in weekly activities designed to support each of the </w:t>
      </w:r>
      <w:r w:rsidRPr="00713057">
        <w:rPr>
          <w:b/>
          <w:bCs/>
          <w:sz w:val="24"/>
          <w:szCs w:val="24"/>
        </w:rPr>
        <w:t xml:space="preserve">4 </w:t>
      </w:r>
      <w:r w:rsidR="00412EAC" w:rsidRPr="00713057">
        <w:rPr>
          <w:b/>
          <w:bCs/>
          <w:sz w:val="24"/>
          <w:szCs w:val="24"/>
        </w:rPr>
        <w:t>P</w:t>
      </w:r>
      <w:r w:rsidRPr="00713057">
        <w:rPr>
          <w:b/>
          <w:bCs/>
          <w:sz w:val="24"/>
          <w:szCs w:val="24"/>
        </w:rPr>
        <w:t>illars</w:t>
      </w:r>
      <w:r w:rsidRPr="00713057">
        <w:rPr>
          <w:sz w:val="24"/>
          <w:szCs w:val="24"/>
        </w:rPr>
        <w:t>:</w:t>
      </w:r>
    </w:p>
    <w:p w14:paraId="196780FE" w14:textId="77777777" w:rsidR="00713057" w:rsidRPr="00713057" w:rsidRDefault="00713057" w:rsidP="00713057">
      <w:pPr>
        <w:pStyle w:val="NoSpacing"/>
        <w:rPr>
          <w:sz w:val="24"/>
          <w:szCs w:val="24"/>
        </w:rPr>
      </w:pPr>
    </w:p>
    <w:p w14:paraId="246E8F1A" w14:textId="3B316C10" w:rsidR="005631FB" w:rsidRPr="00713057" w:rsidRDefault="005631FB" w:rsidP="00713057">
      <w:pPr>
        <w:pStyle w:val="NoSpacing"/>
        <w:rPr>
          <w:sz w:val="24"/>
          <w:szCs w:val="24"/>
        </w:rPr>
      </w:pPr>
      <w:r w:rsidRPr="00713057">
        <w:rPr>
          <w:b/>
          <w:bCs/>
          <w:sz w:val="24"/>
          <w:szCs w:val="24"/>
        </w:rPr>
        <w:t>Pillar 1: Reflect and Do</w:t>
      </w:r>
      <w:r w:rsidRPr="00713057">
        <w:rPr>
          <w:sz w:val="24"/>
          <w:szCs w:val="24"/>
        </w:rPr>
        <w:t xml:space="preserve"> – Pause, reflect, and take small actions to support your well-being</w:t>
      </w:r>
    </w:p>
    <w:p w14:paraId="4F575302" w14:textId="0118ADC1" w:rsidR="00412EAC" w:rsidRPr="00713057" w:rsidRDefault="005631FB" w:rsidP="00713057">
      <w:pPr>
        <w:pStyle w:val="NoSpacing"/>
        <w:rPr>
          <w:sz w:val="24"/>
          <w:szCs w:val="24"/>
        </w:rPr>
      </w:pPr>
      <w:r w:rsidRPr="00713057">
        <w:rPr>
          <w:b/>
          <w:bCs/>
          <w:sz w:val="24"/>
          <w:szCs w:val="24"/>
        </w:rPr>
        <w:t>Pillar 2:  Talk and Feel</w:t>
      </w:r>
      <w:r w:rsidRPr="00713057">
        <w:rPr>
          <w:sz w:val="24"/>
          <w:szCs w:val="24"/>
        </w:rPr>
        <w:t xml:space="preserve"> – </w:t>
      </w:r>
      <w:r w:rsidR="00412EAC" w:rsidRPr="00713057">
        <w:rPr>
          <w:sz w:val="24"/>
          <w:szCs w:val="24"/>
        </w:rPr>
        <w:t xml:space="preserve">Connect with others and check in </w:t>
      </w:r>
      <w:r w:rsidR="00977862">
        <w:rPr>
          <w:sz w:val="24"/>
          <w:szCs w:val="24"/>
        </w:rPr>
        <w:t>on how</w:t>
      </w:r>
      <w:r w:rsidR="00412EAC" w:rsidRPr="00713057">
        <w:rPr>
          <w:sz w:val="24"/>
          <w:szCs w:val="24"/>
        </w:rPr>
        <w:t xml:space="preserve"> you’re doing</w:t>
      </w:r>
    </w:p>
    <w:p w14:paraId="6EE4B3BA" w14:textId="64669B0E" w:rsidR="005631FB" w:rsidRPr="00713057" w:rsidRDefault="005631FB" w:rsidP="00713057">
      <w:pPr>
        <w:pStyle w:val="NoSpacing"/>
        <w:rPr>
          <w:sz w:val="24"/>
          <w:szCs w:val="24"/>
        </w:rPr>
      </w:pPr>
      <w:r w:rsidRPr="00713057">
        <w:rPr>
          <w:b/>
          <w:bCs/>
          <w:sz w:val="24"/>
          <w:szCs w:val="24"/>
        </w:rPr>
        <w:t>Pillar 3: Move and Be</w:t>
      </w:r>
      <w:r w:rsidRPr="00713057">
        <w:rPr>
          <w:sz w:val="24"/>
          <w:szCs w:val="24"/>
        </w:rPr>
        <w:t xml:space="preserve"> – Incorporate movement and mindful awareness into your day</w:t>
      </w:r>
    </w:p>
    <w:p w14:paraId="24BA6053" w14:textId="04EFE33D" w:rsidR="005631FB" w:rsidRPr="00713057" w:rsidRDefault="005631FB" w:rsidP="00713057">
      <w:pPr>
        <w:pStyle w:val="NoSpacing"/>
        <w:rPr>
          <w:sz w:val="24"/>
          <w:szCs w:val="24"/>
        </w:rPr>
      </w:pPr>
      <w:r w:rsidRPr="00713057">
        <w:rPr>
          <w:b/>
          <w:bCs/>
          <w:sz w:val="24"/>
          <w:szCs w:val="24"/>
        </w:rPr>
        <w:t xml:space="preserve">Pillar 4: </w:t>
      </w:r>
      <w:r w:rsidR="00412EAC" w:rsidRPr="00713057">
        <w:rPr>
          <w:b/>
          <w:bCs/>
          <w:sz w:val="24"/>
          <w:szCs w:val="24"/>
        </w:rPr>
        <w:t>Choose Your Own Adventure</w:t>
      </w:r>
      <w:r w:rsidR="00412EAC" w:rsidRPr="00713057">
        <w:rPr>
          <w:sz w:val="24"/>
          <w:szCs w:val="24"/>
        </w:rPr>
        <w:t xml:space="preserve"> – Explore new or favorite activities that help you feel your best</w:t>
      </w:r>
    </w:p>
    <w:p w14:paraId="1C201E72" w14:textId="50F91BCA" w:rsidR="00412EAC" w:rsidRPr="00713057" w:rsidRDefault="00412EAC" w:rsidP="00713057">
      <w:pPr>
        <w:pStyle w:val="NoSpacing"/>
        <w:rPr>
          <w:rFonts w:ascii="Aptos" w:hAnsi="Aptos"/>
          <w:sz w:val="24"/>
          <w:szCs w:val="24"/>
        </w:rPr>
      </w:pPr>
    </w:p>
    <w:p w14:paraId="03490216" w14:textId="5501E624" w:rsidR="00412EAC" w:rsidRPr="00713057" w:rsidRDefault="00913F2C" w:rsidP="00713057">
      <w:pPr>
        <w:pStyle w:val="NoSpacing"/>
        <w:rPr>
          <w:rFonts w:ascii="Aptos" w:hAnsi="Aptos"/>
          <w:b/>
          <w:bCs/>
          <w:sz w:val="24"/>
          <w:szCs w:val="24"/>
        </w:rPr>
      </w:pPr>
      <w:r w:rsidRPr="00713057">
        <w:rPr>
          <w:rFonts w:ascii="Aptos" w:hAnsi="Aptos"/>
          <w:b/>
          <w:bCs/>
          <w:sz w:val="24"/>
          <w:szCs w:val="24"/>
        </w:rPr>
        <w:t>C</w:t>
      </w:r>
      <w:r w:rsidR="00412EAC" w:rsidRPr="00713057">
        <w:rPr>
          <w:rFonts w:ascii="Aptos" w:hAnsi="Aptos"/>
          <w:b/>
          <w:bCs/>
          <w:sz w:val="24"/>
          <w:szCs w:val="24"/>
        </w:rPr>
        <w:t>hallenge</w:t>
      </w:r>
      <w:r w:rsidRPr="00713057">
        <w:rPr>
          <w:rFonts w:ascii="Aptos" w:hAnsi="Aptos"/>
          <w:b/>
          <w:bCs/>
          <w:sz w:val="24"/>
          <w:szCs w:val="24"/>
        </w:rPr>
        <w:t xml:space="preserve"> details and how to participate:</w:t>
      </w:r>
    </w:p>
    <w:p w14:paraId="01EA8BEF" w14:textId="7FB8CA34" w:rsidR="00913F2C" w:rsidRPr="00713057" w:rsidRDefault="00913F2C" w:rsidP="00713057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13057">
        <w:rPr>
          <w:rFonts w:ascii="Aptos" w:hAnsi="Aptos"/>
          <w:sz w:val="24"/>
          <w:szCs w:val="24"/>
        </w:rPr>
        <w:t xml:space="preserve">Starting </w:t>
      </w:r>
      <w:r w:rsidR="007E0695">
        <w:rPr>
          <w:rFonts w:ascii="Aptos" w:hAnsi="Aptos"/>
          <w:sz w:val="24"/>
          <w:szCs w:val="24"/>
        </w:rPr>
        <w:t>May 4</w:t>
      </w:r>
      <w:r w:rsidRPr="00713057">
        <w:rPr>
          <w:rFonts w:ascii="Aptos" w:hAnsi="Aptos"/>
          <w:sz w:val="24"/>
          <w:szCs w:val="24"/>
        </w:rPr>
        <w:t xml:space="preserve">, </w:t>
      </w:r>
      <w:r w:rsidR="00713057" w:rsidRPr="00713057">
        <w:rPr>
          <w:rFonts w:ascii="Aptos" w:hAnsi="Aptos"/>
          <w:sz w:val="24"/>
          <w:szCs w:val="24"/>
        </w:rPr>
        <w:t>you will receive</w:t>
      </w:r>
      <w:r w:rsidRPr="00713057">
        <w:rPr>
          <w:rFonts w:ascii="Aptos" w:hAnsi="Aptos"/>
          <w:sz w:val="24"/>
          <w:szCs w:val="24"/>
        </w:rPr>
        <w:t xml:space="preserve"> weekly email</w:t>
      </w:r>
      <w:r w:rsidR="00713057" w:rsidRPr="00713057">
        <w:rPr>
          <w:rFonts w:ascii="Aptos" w:hAnsi="Aptos"/>
          <w:sz w:val="24"/>
          <w:szCs w:val="24"/>
        </w:rPr>
        <w:t>s</w:t>
      </w:r>
      <w:r w:rsidRPr="00713057">
        <w:rPr>
          <w:rFonts w:ascii="Aptos" w:hAnsi="Aptos"/>
          <w:sz w:val="24"/>
          <w:szCs w:val="24"/>
        </w:rPr>
        <w:t xml:space="preserve"> highlighting 1 of the 4 pillars</w:t>
      </w:r>
    </w:p>
    <w:p w14:paraId="0DD7F516" w14:textId="326B3059" w:rsidR="00412EAC" w:rsidRPr="00713057" w:rsidRDefault="00412EAC" w:rsidP="00713057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13057">
        <w:rPr>
          <w:rFonts w:ascii="Aptos" w:hAnsi="Aptos"/>
          <w:sz w:val="24"/>
          <w:szCs w:val="24"/>
        </w:rPr>
        <w:t xml:space="preserve">Read the weekly “Together in Well-Being” emails for inspiration and </w:t>
      </w:r>
      <w:r w:rsidR="00E2135A">
        <w:rPr>
          <w:rFonts w:ascii="Aptos" w:hAnsi="Aptos"/>
          <w:sz w:val="24"/>
          <w:szCs w:val="24"/>
        </w:rPr>
        <w:t xml:space="preserve">a list of </w:t>
      </w:r>
      <w:r w:rsidRPr="00713057">
        <w:rPr>
          <w:rFonts w:ascii="Aptos" w:hAnsi="Aptos"/>
          <w:sz w:val="24"/>
          <w:szCs w:val="24"/>
        </w:rPr>
        <w:t>activities</w:t>
      </w:r>
    </w:p>
    <w:p w14:paraId="3B3A60BE" w14:textId="22F838F4" w:rsidR="00412EAC" w:rsidRPr="00713057" w:rsidRDefault="00412EAC" w:rsidP="00713057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13057">
        <w:rPr>
          <w:rFonts w:ascii="Aptos" w:hAnsi="Aptos"/>
          <w:sz w:val="24"/>
          <w:szCs w:val="24"/>
        </w:rPr>
        <w:t xml:space="preserve">Explore the May events calendar </w:t>
      </w:r>
      <w:r w:rsidR="00E2135A">
        <w:rPr>
          <w:rFonts w:ascii="Aptos" w:hAnsi="Aptos"/>
          <w:sz w:val="24"/>
          <w:szCs w:val="24"/>
        </w:rPr>
        <w:t xml:space="preserve">and register for activities </w:t>
      </w:r>
      <w:r w:rsidRPr="00713057">
        <w:rPr>
          <w:rFonts w:ascii="Aptos" w:hAnsi="Aptos"/>
          <w:sz w:val="24"/>
          <w:szCs w:val="24"/>
        </w:rPr>
        <w:t xml:space="preserve">at </w:t>
      </w:r>
      <w:hyperlink r:id="rId6" w:history="1">
        <w:r w:rsidR="00913F2C" w:rsidRPr="00713057">
          <w:rPr>
            <w:rStyle w:val="Hyperlink"/>
            <w:rFonts w:ascii="Aptos" w:hAnsi="Aptos"/>
            <w:sz w:val="24"/>
            <w:szCs w:val="24"/>
          </w:rPr>
          <w:t xml:space="preserve">sfhss.org/events </w:t>
        </w:r>
      </w:hyperlink>
      <w:r w:rsidR="00913F2C" w:rsidRPr="00713057">
        <w:rPr>
          <w:rFonts w:ascii="Aptos" w:hAnsi="Aptos"/>
          <w:sz w:val="24"/>
          <w:szCs w:val="24"/>
        </w:rPr>
        <w:t xml:space="preserve"> </w:t>
      </w:r>
    </w:p>
    <w:p w14:paraId="1C933843" w14:textId="563D0C40" w:rsidR="00412EAC" w:rsidRPr="00713057" w:rsidRDefault="00412EAC" w:rsidP="00713057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13057">
        <w:rPr>
          <w:rFonts w:ascii="Aptos" w:hAnsi="Aptos"/>
          <w:sz w:val="24"/>
          <w:szCs w:val="24"/>
        </w:rPr>
        <w:t>Complete at least 3 activities each week</w:t>
      </w:r>
      <w:r w:rsidR="00913F2C" w:rsidRPr="00713057">
        <w:rPr>
          <w:rFonts w:ascii="Aptos" w:hAnsi="Aptos"/>
          <w:sz w:val="24"/>
          <w:szCs w:val="24"/>
        </w:rPr>
        <w:t xml:space="preserve"> </w:t>
      </w:r>
    </w:p>
    <w:p w14:paraId="061529B0" w14:textId="4CCCE0F5" w:rsidR="00412EAC" w:rsidRPr="00713057" w:rsidRDefault="00412EAC" w:rsidP="00713057">
      <w:pPr>
        <w:pStyle w:val="NoSpacing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13057">
        <w:rPr>
          <w:rFonts w:ascii="Aptos" w:hAnsi="Aptos"/>
          <w:sz w:val="24"/>
          <w:szCs w:val="24"/>
        </w:rPr>
        <w:t>Log your participation using the link provided in the weekly emails</w:t>
      </w:r>
      <w:r w:rsidR="00913F2C" w:rsidRPr="00713057">
        <w:rPr>
          <w:rFonts w:ascii="Aptos" w:hAnsi="Aptos"/>
          <w:sz w:val="24"/>
          <w:szCs w:val="24"/>
        </w:rPr>
        <w:t xml:space="preserve"> to be entered into raffle drawings</w:t>
      </w:r>
    </w:p>
    <w:p w14:paraId="02A60925" w14:textId="77777777" w:rsidR="00412EAC" w:rsidRPr="00713057" w:rsidRDefault="00412EAC" w:rsidP="00713057">
      <w:pPr>
        <w:pStyle w:val="NoSpacing"/>
        <w:rPr>
          <w:rFonts w:ascii="Aptos" w:hAnsi="Aptos"/>
          <w:sz w:val="24"/>
          <w:szCs w:val="24"/>
        </w:rPr>
      </w:pPr>
    </w:p>
    <w:p w14:paraId="7224C48C" w14:textId="77777777" w:rsidR="00713057" w:rsidRDefault="00713057" w:rsidP="00713057">
      <w:pPr>
        <w:pStyle w:val="NoSpacing"/>
        <w:rPr>
          <w:rFonts w:ascii="Aptos" w:hAnsi="Aptos" w:cs="Arial"/>
          <w:sz w:val="24"/>
          <w:szCs w:val="24"/>
        </w:rPr>
      </w:pPr>
      <w:r w:rsidRPr="00713057">
        <w:rPr>
          <w:rFonts w:ascii="Aptos" w:hAnsi="Aptos" w:cs="Arial"/>
          <w:sz w:val="24"/>
          <w:szCs w:val="24"/>
        </w:rPr>
        <w:t>We encourage you to take part in a way that feels right for you. Even small steps can make a meaningful difference.</w:t>
      </w:r>
    </w:p>
    <w:p w14:paraId="4D7A1CD9" w14:textId="77777777" w:rsidR="00713057" w:rsidRPr="00713057" w:rsidRDefault="00713057" w:rsidP="00713057">
      <w:pPr>
        <w:pStyle w:val="NoSpacing"/>
        <w:rPr>
          <w:rFonts w:ascii="Aptos" w:hAnsi="Aptos" w:cs="Arial"/>
          <w:sz w:val="24"/>
          <w:szCs w:val="24"/>
        </w:rPr>
      </w:pPr>
    </w:p>
    <w:p w14:paraId="4E320E14" w14:textId="61FAEB61" w:rsidR="009F3C68" w:rsidRPr="00713057" w:rsidRDefault="002B2AB3" w:rsidP="00713057">
      <w:pPr>
        <w:pStyle w:val="NoSpacing"/>
        <w:rPr>
          <w:rFonts w:ascii="Aptos" w:hAnsi="Aptos" w:cs="Arial"/>
          <w:sz w:val="24"/>
          <w:szCs w:val="24"/>
        </w:rPr>
      </w:pPr>
      <w:r w:rsidRPr="00713057">
        <w:rPr>
          <w:rFonts w:ascii="Aptos" w:hAnsi="Aptos" w:cs="Arial"/>
          <w:sz w:val="24"/>
          <w:szCs w:val="24"/>
        </w:rPr>
        <w:t xml:space="preserve">Warm regards, </w:t>
      </w:r>
    </w:p>
    <w:p w14:paraId="046D0D02" w14:textId="38EFB7AC" w:rsidR="00DF3590" w:rsidRPr="00713057" w:rsidRDefault="006F0FB8">
      <w:pPr>
        <w:rPr>
          <w:rFonts w:ascii="Aptos" w:hAnsi="Aptos"/>
          <w:b/>
          <w:bCs/>
          <w:sz w:val="24"/>
          <w:szCs w:val="24"/>
        </w:rPr>
      </w:pPr>
      <w:r w:rsidRPr="00713057">
        <w:rPr>
          <w:rFonts w:ascii="Aptos" w:hAnsi="Aptos" w:cs="Arial"/>
          <w:sz w:val="24"/>
          <w:szCs w:val="24"/>
          <w:highlight w:val="yellow"/>
        </w:rPr>
        <w:t>[INSERT Signature]</w:t>
      </w:r>
      <w:r w:rsidR="009F3C68" w:rsidRPr="00713057">
        <w:rPr>
          <w:rFonts w:ascii="Aptos" w:hAnsi="Aptos"/>
          <w:b/>
          <w:bCs/>
          <w:sz w:val="24"/>
          <w:szCs w:val="24"/>
        </w:rPr>
        <w:softHyphen/>
      </w:r>
      <w:r w:rsidR="009F3C68" w:rsidRPr="00713057">
        <w:rPr>
          <w:rFonts w:ascii="Aptos" w:hAnsi="Aptos"/>
          <w:b/>
          <w:bCs/>
          <w:sz w:val="24"/>
          <w:szCs w:val="24"/>
        </w:rPr>
        <w:softHyphen/>
      </w:r>
    </w:p>
    <w:sectPr w:rsidR="00DF3590" w:rsidRPr="00713057" w:rsidSect="00F30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3CB9"/>
    <w:multiLevelType w:val="hybridMultilevel"/>
    <w:tmpl w:val="86E69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527C0D"/>
    <w:multiLevelType w:val="hybridMultilevel"/>
    <w:tmpl w:val="F73C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A1C73"/>
    <w:multiLevelType w:val="hybridMultilevel"/>
    <w:tmpl w:val="3C306E10"/>
    <w:lvl w:ilvl="0" w:tplc="BFDC05E2">
      <w:start w:val="1"/>
      <w:numFmt w:val="decimal"/>
      <w:lvlText w:val="%1."/>
      <w:lvlJc w:val="left"/>
      <w:pPr>
        <w:ind w:left="1020" w:hanging="360"/>
      </w:pPr>
    </w:lvl>
    <w:lvl w:ilvl="1" w:tplc="2AAC7722">
      <w:start w:val="1"/>
      <w:numFmt w:val="decimal"/>
      <w:lvlText w:val="%2."/>
      <w:lvlJc w:val="left"/>
      <w:pPr>
        <w:ind w:left="1020" w:hanging="360"/>
      </w:pPr>
    </w:lvl>
    <w:lvl w:ilvl="2" w:tplc="D9448AAE">
      <w:start w:val="1"/>
      <w:numFmt w:val="decimal"/>
      <w:lvlText w:val="%3."/>
      <w:lvlJc w:val="left"/>
      <w:pPr>
        <w:ind w:left="1020" w:hanging="360"/>
      </w:pPr>
    </w:lvl>
    <w:lvl w:ilvl="3" w:tplc="A0A6AA98">
      <w:start w:val="1"/>
      <w:numFmt w:val="decimal"/>
      <w:lvlText w:val="%4."/>
      <w:lvlJc w:val="left"/>
      <w:pPr>
        <w:ind w:left="1020" w:hanging="360"/>
      </w:pPr>
    </w:lvl>
    <w:lvl w:ilvl="4" w:tplc="02C24CDE">
      <w:start w:val="1"/>
      <w:numFmt w:val="decimal"/>
      <w:lvlText w:val="%5."/>
      <w:lvlJc w:val="left"/>
      <w:pPr>
        <w:ind w:left="1020" w:hanging="360"/>
      </w:pPr>
    </w:lvl>
    <w:lvl w:ilvl="5" w:tplc="6EFADD80">
      <w:start w:val="1"/>
      <w:numFmt w:val="decimal"/>
      <w:lvlText w:val="%6."/>
      <w:lvlJc w:val="left"/>
      <w:pPr>
        <w:ind w:left="1020" w:hanging="360"/>
      </w:pPr>
    </w:lvl>
    <w:lvl w:ilvl="6" w:tplc="1AEAD24A">
      <w:start w:val="1"/>
      <w:numFmt w:val="decimal"/>
      <w:lvlText w:val="%7."/>
      <w:lvlJc w:val="left"/>
      <w:pPr>
        <w:ind w:left="1020" w:hanging="360"/>
      </w:pPr>
    </w:lvl>
    <w:lvl w:ilvl="7" w:tplc="E730998C">
      <w:start w:val="1"/>
      <w:numFmt w:val="decimal"/>
      <w:lvlText w:val="%8."/>
      <w:lvlJc w:val="left"/>
      <w:pPr>
        <w:ind w:left="1020" w:hanging="360"/>
      </w:pPr>
    </w:lvl>
    <w:lvl w:ilvl="8" w:tplc="3E98D60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CA56D76"/>
    <w:multiLevelType w:val="hybridMultilevel"/>
    <w:tmpl w:val="D602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163"/>
    <w:multiLevelType w:val="hybridMultilevel"/>
    <w:tmpl w:val="45923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F67E3"/>
    <w:multiLevelType w:val="hybridMultilevel"/>
    <w:tmpl w:val="F8CAF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971EC"/>
    <w:multiLevelType w:val="hybridMultilevel"/>
    <w:tmpl w:val="50507D48"/>
    <w:lvl w:ilvl="0" w:tplc="A48C3FB2">
      <w:start w:val="1"/>
      <w:numFmt w:val="decimal"/>
      <w:lvlText w:val="%1."/>
      <w:lvlJc w:val="left"/>
      <w:pPr>
        <w:ind w:left="1020" w:hanging="360"/>
      </w:pPr>
    </w:lvl>
    <w:lvl w:ilvl="1" w:tplc="0AB058B8">
      <w:start w:val="1"/>
      <w:numFmt w:val="decimal"/>
      <w:lvlText w:val="%2."/>
      <w:lvlJc w:val="left"/>
      <w:pPr>
        <w:ind w:left="1020" w:hanging="360"/>
      </w:pPr>
    </w:lvl>
    <w:lvl w:ilvl="2" w:tplc="E8FCAB06">
      <w:start w:val="1"/>
      <w:numFmt w:val="decimal"/>
      <w:lvlText w:val="%3."/>
      <w:lvlJc w:val="left"/>
      <w:pPr>
        <w:ind w:left="1020" w:hanging="360"/>
      </w:pPr>
    </w:lvl>
    <w:lvl w:ilvl="3" w:tplc="B9322714">
      <w:start w:val="1"/>
      <w:numFmt w:val="decimal"/>
      <w:lvlText w:val="%4."/>
      <w:lvlJc w:val="left"/>
      <w:pPr>
        <w:ind w:left="1020" w:hanging="360"/>
      </w:pPr>
    </w:lvl>
    <w:lvl w:ilvl="4" w:tplc="B532C254">
      <w:start w:val="1"/>
      <w:numFmt w:val="decimal"/>
      <w:lvlText w:val="%5."/>
      <w:lvlJc w:val="left"/>
      <w:pPr>
        <w:ind w:left="1020" w:hanging="360"/>
      </w:pPr>
    </w:lvl>
    <w:lvl w:ilvl="5" w:tplc="BB62193C">
      <w:start w:val="1"/>
      <w:numFmt w:val="decimal"/>
      <w:lvlText w:val="%6."/>
      <w:lvlJc w:val="left"/>
      <w:pPr>
        <w:ind w:left="1020" w:hanging="360"/>
      </w:pPr>
    </w:lvl>
    <w:lvl w:ilvl="6" w:tplc="768EAAB0">
      <w:start w:val="1"/>
      <w:numFmt w:val="decimal"/>
      <w:lvlText w:val="%7."/>
      <w:lvlJc w:val="left"/>
      <w:pPr>
        <w:ind w:left="1020" w:hanging="360"/>
      </w:pPr>
    </w:lvl>
    <w:lvl w:ilvl="7" w:tplc="ADE23D26">
      <w:start w:val="1"/>
      <w:numFmt w:val="decimal"/>
      <w:lvlText w:val="%8."/>
      <w:lvlJc w:val="left"/>
      <w:pPr>
        <w:ind w:left="1020" w:hanging="360"/>
      </w:pPr>
    </w:lvl>
    <w:lvl w:ilvl="8" w:tplc="2A10F5D4">
      <w:start w:val="1"/>
      <w:numFmt w:val="decimal"/>
      <w:lvlText w:val="%9."/>
      <w:lvlJc w:val="left"/>
      <w:pPr>
        <w:ind w:left="1020" w:hanging="360"/>
      </w:pPr>
    </w:lvl>
  </w:abstractNum>
  <w:num w:numId="1" w16cid:durableId="1832720165">
    <w:abstractNumId w:val="0"/>
  </w:num>
  <w:num w:numId="2" w16cid:durableId="1170756670">
    <w:abstractNumId w:val="6"/>
  </w:num>
  <w:num w:numId="3" w16cid:durableId="1772313998">
    <w:abstractNumId w:val="2"/>
  </w:num>
  <w:num w:numId="4" w16cid:durableId="1365592394">
    <w:abstractNumId w:val="3"/>
  </w:num>
  <w:num w:numId="5" w16cid:durableId="1171797308">
    <w:abstractNumId w:val="1"/>
  </w:num>
  <w:num w:numId="6" w16cid:durableId="715616680">
    <w:abstractNumId w:val="5"/>
  </w:num>
  <w:num w:numId="7" w16cid:durableId="1498031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4F"/>
    <w:rsid w:val="00006BAC"/>
    <w:rsid w:val="001A3031"/>
    <w:rsid w:val="001F281B"/>
    <w:rsid w:val="001F47B0"/>
    <w:rsid w:val="00203075"/>
    <w:rsid w:val="0024256B"/>
    <w:rsid w:val="0025229A"/>
    <w:rsid w:val="002B2AB3"/>
    <w:rsid w:val="00381729"/>
    <w:rsid w:val="003A38AD"/>
    <w:rsid w:val="003D5002"/>
    <w:rsid w:val="00412EAC"/>
    <w:rsid w:val="00432EFD"/>
    <w:rsid w:val="004A723D"/>
    <w:rsid w:val="005631FB"/>
    <w:rsid w:val="005915F9"/>
    <w:rsid w:val="005D0E03"/>
    <w:rsid w:val="005E3167"/>
    <w:rsid w:val="00601126"/>
    <w:rsid w:val="00612024"/>
    <w:rsid w:val="00621A3F"/>
    <w:rsid w:val="006A7BBA"/>
    <w:rsid w:val="006F0FB8"/>
    <w:rsid w:val="00713057"/>
    <w:rsid w:val="00732876"/>
    <w:rsid w:val="007561E0"/>
    <w:rsid w:val="00760D90"/>
    <w:rsid w:val="007E0695"/>
    <w:rsid w:val="007E34A3"/>
    <w:rsid w:val="00913F2C"/>
    <w:rsid w:val="009739BB"/>
    <w:rsid w:val="00977862"/>
    <w:rsid w:val="009F3C68"/>
    <w:rsid w:val="00A65C59"/>
    <w:rsid w:val="00AC5DD0"/>
    <w:rsid w:val="00AF1EA0"/>
    <w:rsid w:val="00B11AAD"/>
    <w:rsid w:val="00B222A7"/>
    <w:rsid w:val="00BC6DCD"/>
    <w:rsid w:val="00C2081D"/>
    <w:rsid w:val="00D34F83"/>
    <w:rsid w:val="00D40230"/>
    <w:rsid w:val="00D5328C"/>
    <w:rsid w:val="00D61B24"/>
    <w:rsid w:val="00D707CD"/>
    <w:rsid w:val="00D77BF3"/>
    <w:rsid w:val="00DF3590"/>
    <w:rsid w:val="00E2135A"/>
    <w:rsid w:val="00E21F8D"/>
    <w:rsid w:val="00E22C25"/>
    <w:rsid w:val="00E3214F"/>
    <w:rsid w:val="00F30889"/>
    <w:rsid w:val="00F3738D"/>
    <w:rsid w:val="00F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65DE7"/>
  <w15:chartTrackingRefBased/>
  <w15:docId w15:val="{5F55D7AC-7B64-44FB-8859-91633AB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1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B2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32E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2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25"/>
    <w:rPr>
      <w:b/>
      <w:bCs/>
      <w:sz w:val="20"/>
      <w:szCs w:val="20"/>
    </w:rPr>
  </w:style>
  <w:style w:type="paragraph" w:styleId="NoSpacing">
    <w:name w:val="No Spacing"/>
    <w:uiPriority w:val="1"/>
    <w:qFormat/>
    <w:rsid w:val="0056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hss.org/ev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1548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Ocampo, Lisa (HSS)</dc:creator>
  <cp:keywords/>
  <dc:description/>
  <cp:lastModifiedBy>Ocampo, Lisa (HSS)</cp:lastModifiedBy>
  <cp:revision>3</cp:revision>
  <cp:lastPrinted>2026-04-13T14:45:00Z</cp:lastPrinted>
  <dcterms:created xsi:type="dcterms:W3CDTF">2026-04-15T21:24:00Z</dcterms:created>
  <dcterms:modified xsi:type="dcterms:W3CDTF">2026-04-15T21:24:00Z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fdb45d55-1d64-4e76-b263-346e4dce701d</vt:lpwstr>
  </property>
</Properties>
</file>