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86FC" w14:textId="77777777" w:rsidR="001426F6" w:rsidRPr="007B51C1" w:rsidRDefault="001426F6" w:rsidP="007B51C1">
      <w:pPr>
        <w:pStyle w:val="Header"/>
        <w:spacing w:line="276" w:lineRule="auto"/>
        <w:jc w:val="center"/>
        <w:rPr>
          <w:b/>
          <w:bCs/>
          <w:sz w:val="28"/>
          <w:szCs w:val="22"/>
        </w:rPr>
      </w:pPr>
      <w:r w:rsidRPr="007B51C1">
        <w:rPr>
          <w:b/>
          <w:bCs/>
          <w:sz w:val="28"/>
          <w:szCs w:val="22"/>
        </w:rPr>
        <w:t>Appendix E</w:t>
      </w:r>
    </w:p>
    <w:p w14:paraId="5A744010" w14:textId="5D31F1D7" w:rsidR="001426F6" w:rsidRPr="007B51C1" w:rsidRDefault="001426F6" w:rsidP="007B51C1">
      <w:pPr>
        <w:pStyle w:val="Header"/>
        <w:spacing w:line="276" w:lineRule="auto"/>
        <w:jc w:val="center"/>
        <w:rPr>
          <w:b/>
          <w:bCs/>
          <w:sz w:val="28"/>
          <w:szCs w:val="22"/>
        </w:rPr>
      </w:pPr>
      <w:r w:rsidRPr="007B51C1">
        <w:rPr>
          <w:b/>
          <w:bCs/>
          <w:sz w:val="28"/>
          <w:szCs w:val="22"/>
        </w:rPr>
        <w:t>City and County of San Francisco</w:t>
      </w:r>
    </w:p>
    <w:p w14:paraId="632F950E" w14:textId="43ED6EF3" w:rsidR="001426F6" w:rsidRDefault="001426F6" w:rsidP="007B51C1">
      <w:pPr>
        <w:pStyle w:val="Header"/>
        <w:spacing w:line="276" w:lineRule="auto"/>
        <w:jc w:val="center"/>
        <w:rPr>
          <w:b/>
          <w:bCs/>
          <w:color w:val="0070C0"/>
          <w:sz w:val="22"/>
          <w:szCs w:val="22"/>
          <w:shd w:val="clear" w:color="auto" w:fill="FFFFFF"/>
        </w:rPr>
      </w:pPr>
      <w:r w:rsidRPr="007B51C1">
        <w:rPr>
          <w:b/>
          <w:bCs/>
          <w:sz w:val="28"/>
          <w:szCs w:val="22"/>
        </w:rPr>
        <w:t>Business Associate Agreement</w:t>
      </w:r>
      <w:r w:rsidRPr="007B51C1" w:rsidDel="001426F6">
        <w:rPr>
          <w:b/>
          <w:bCs/>
          <w:color w:val="0070C0"/>
          <w:szCs w:val="24"/>
          <w:shd w:val="clear" w:color="auto" w:fill="FFFFFF"/>
        </w:rPr>
        <w:t xml:space="preserve"> </w:t>
      </w:r>
    </w:p>
    <w:p w14:paraId="33B710D3" w14:textId="77777777" w:rsidR="001426F6" w:rsidRDefault="001426F6" w:rsidP="001426F6">
      <w:pPr>
        <w:spacing w:before="120" w:after="120" w:line="276" w:lineRule="auto"/>
        <w:rPr>
          <w:b/>
          <w:bCs/>
          <w:color w:val="0070C0"/>
          <w:sz w:val="22"/>
          <w:szCs w:val="22"/>
          <w:shd w:val="clear" w:color="auto" w:fill="FFFFFF"/>
        </w:rPr>
      </w:pPr>
    </w:p>
    <w:p w14:paraId="783FBA76" w14:textId="1C71D917"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2C4CEF">
        <w:t>A</w:t>
      </w:r>
      <w:r w:rsidR="00F4218F">
        <w:t>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2C4CEF">
      <w:pPr>
        <w:spacing w:before="120" w:after="120" w:line="276" w:lineRule="auto"/>
        <w:jc w:val="center"/>
        <w:rPr>
          <w:b/>
        </w:rPr>
      </w:pPr>
      <w:r w:rsidRPr="00342249">
        <w:rPr>
          <w:b/>
        </w:rPr>
        <w:t>RECITALS</w:t>
      </w:r>
    </w:p>
    <w:p w14:paraId="40CC12CD" w14:textId="57A1CCCB"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E44B1A">
        <w:rPr>
          <w:color w:val="00B050"/>
        </w:rPr>
        <w:t>[insert D</w:t>
      </w:r>
      <w:r w:rsidR="00C16D66">
        <w:rPr>
          <w:color w:val="00B050"/>
        </w:rPr>
        <w:t>epartment</w:t>
      </w:r>
      <w:r w:rsidR="00E44B1A">
        <w:rPr>
          <w:color w:val="00B050"/>
        </w:rPr>
        <w:t xml:space="preserve"> name]</w:t>
      </w:r>
      <w:r w:rsidR="00B93971" w:rsidRPr="00C63AAC">
        <w:rPr>
          <w:color w:val="00B050"/>
        </w:rPr>
        <w:t xml:space="preserve"> (“</w:t>
      </w:r>
      <w:r w:rsidR="00E44B1A">
        <w:rPr>
          <w:color w:val="00B050"/>
        </w:rPr>
        <w:t>[Insert Acronym]</w:t>
      </w:r>
      <w:r w:rsidR="00B93971" w:rsidRPr="00342249">
        <w:t>”),</w:t>
      </w:r>
      <w:r w:rsidRPr="00342249">
        <w:t xml:space="preserve"> 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w:t>
      </w:r>
      <w:proofErr w:type="gramStart"/>
      <w:r w:rsidRPr="00342249">
        <w:t>enter into</w:t>
      </w:r>
      <w:proofErr w:type="gramEnd"/>
      <w:r w:rsidRPr="00342249">
        <w:t xml:space="preserve">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lastRenderedPageBreak/>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shall have the meaning given to such term under the HITECH Act and HIPAA Regulations [42 U.S.C. Section 17921 and 45 C.F.R. Section 164.402]</w:t>
      </w:r>
      <w:r w:rsidR="00512EC4" w:rsidRPr="00342249">
        <w:t>, as well as California Civil Code Sections 1798.29 and 1798.82</w:t>
      </w:r>
      <w:r w:rsidRPr="00342249">
        <w:t>.</w:t>
      </w:r>
    </w:p>
    <w:p w14:paraId="3836D24E" w14:textId="56A206E5"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w:t>
      </w:r>
      <w:r w:rsidR="002C4CEF">
        <w:t xml:space="preserve"> Parts 160 and</w:t>
      </w:r>
      <w:r w:rsidR="00A71D2A">
        <w:t xml:space="preserve"> 164, Subpart</w:t>
      </w:r>
      <w:r w:rsidR="002C4CEF">
        <w:t>s A and</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w:t>
      </w:r>
      <w:proofErr w:type="gramStart"/>
      <w:r w:rsidR="00426232" w:rsidRPr="00342249">
        <w:t>Regulations, and</w:t>
      </w:r>
      <w:proofErr w:type="gramEnd"/>
      <w:r w:rsidR="00426232" w:rsidRPr="00342249">
        <w:t xml:space="preserve">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w:t>
      </w:r>
      <w:proofErr w:type="gramStart"/>
      <w:r w:rsidR="00E40FD0" w:rsidRPr="00342249">
        <w:t>CE, and</w:t>
      </w:r>
      <w:proofErr w:type="gramEnd"/>
      <w:r w:rsidR="00E40FD0" w:rsidRPr="00342249">
        <w:t xml:space="preserve">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lastRenderedPageBreak/>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w:t>
      </w:r>
      <w:proofErr w:type="spellStart"/>
      <w:r w:rsidRPr="00342249">
        <w:t>i</w:t>
      </w:r>
      <w:proofErr w:type="spellEnd"/>
      <w:r w:rsidRPr="00342249">
        <w:t>) that relates to the pa</w:t>
      </w:r>
      <w:r w:rsidR="004E2E66" w:rsidRPr="00342249">
        <w:t>s</w:t>
      </w:r>
      <w:r w:rsidRPr="00342249">
        <w:t>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 xml:space="preserve">means </w:t>
      </w:r>
      <w:proofErr w:type="gramStart"/>
      <w:r w:rsidR="008572BA" w:rsidRPr="00342249">
        <w:t>the attempted</w:t>
      </w:r>
      <w:proofErr w:type="gramEnd"/>
      <w:r w:rsidR="008572BA" w:rsidRPr="00342249">
        <w:t xml:space="preserve"> or successful unauthorized access, use, disclosure, modification, or destruction of information or interferenc</w:t>
      </w:r>
      <w:r w:rsidR="00215605" w:rsidRPr="00342249">
        <w:t xml:space="preserve">e with system operations in an information </w:t>
      </w:r>
      <w:proofErr w:type="gramStart"/>
      <w:r w:rsidR="00215605" w:rsidRPr="00342249">
        <w:t>s</w:t>
      </w:r>
      <w:r w:rsidR="008572BA" w:rsidRPr="00342249">
        <w:t>ystem, and</w:t>
      </w:r>
      <w:proofErr w:type="gramEnd"/>
      <w:r w:rsidR="008572BA" w:rsidRPr="00342249">
        <w:t xml:space="preserve">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w:t>
      </w:r>
      <w:proofErr w:type="gramStart"/>
      <w:r w:rsidR="002F68B4" w:rsidRPr="00342249">
        <w:t>so</w:t>
      </w:r>
      <w:proofErr w:type="gramEnd"/>
      <w:r w:rsidR="002F68B4" w:rsidRPr="00342249">
        <w:t xml:space="preserve"> used by CE.  However, BA may use Protected Information as necessary (</w:t>
      </w:r>
      <w:proofErr w:type="spellStart"/>
      <w:r w:rsidR="002F68B4" w:rsidRPr="00342249">
        <w:t>i</w:t>
      </w:r>
      <w:proofErr w:type="spellEnd"/>
      <w:r w:rsidR="002F68B4" w:rsidRPr="00342249">
        <w:t xml:space="preserve">) for the proper management and administration of BA; (ii) to carry out the legal responsibilities of </w:t>
      </w:r>
      <w:r w:rsidR="002F68B4" w:rsidRPr="00342249">
        <w:lastRenderedPageBreak/>
        <w:t xml:space="preserve">BA; (iii) as required by law; or (iv) for Data Aggregation purposes relating to the Health Care Operations of CE [45 C.F.R. Sections </w:t>
      </w:r>
      <w:r w:rsidR="00D55561" w:rsidRPr="00342249">
        <w:t xml:space="preserve">164.502, </w:t>
      </w:r>
      <w:r w:rsidR="002F68B4" w:rsidRPr="00342249">
        <w:t>164.504(e)(2). and 164.504(e)(4)(</w:t>
      </w:r>
      <w:proofErr w:type="spellStart"/>
      <w:r w:rsidR="002F68B4" w:rsidRPr="00342249">
        <w:t>i</w:t>
      </w:r>
      <w:proofErr w:type="spellEnd"/>
      <w:r w:rsidR="002F68B4" w:rsidRPr="00342249">
        <w:t>)].</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xml:space="preserve">, or as required by law.  BA shall not disclose Protected Information in any manner that would constitute a violation of the Privacy Rule or the HITECH Act if </w:t>
      </w:r>
      <w:proofErr w:type="gramStart"/>
      <w:r w:rsidR="002F68B4" w:rsidRPr="00342249">
        <w:t>so</w:t>
      </w:r>
      <w:proofErr w:type="gramEnd"/>
      <w:r w:rsidR="002F68B4" w:rsidRPr="00342249">
        <w:t xml:space="preserve"> disclosed by CE.  However, BA may disclose Protected Information as necessary (</w:t>
      </w:r>
      <w:proofErr w:type="spellStart"/>
      <w:r w:rsidR="002F68B4" w:rsidRPr="00342249">
        <w:t>i</w:t>
      </w:r>
      <w:proofErr w:type="spellEnd"/>
      <w:r w:rsidR="002F68B4" w:rsidRPr="00342249">
        <w:t>) for the proper management and administration of BA; (ii) to carry out the legal responsibilities of BA; (iii) as required b</w:t>
      </w:r>
      <w:r w:rsidR="00D64BBB">
        <w:t xml:space="preserve">y law; or (iv) </w:t>
      </w:r>
      <w:r w:rsidR="002F68B4" w:rsidRPr="00342249">
        <w:t>for Data Aggregation purposes relating to the Health Care Operations of CE.  If BA discloses Protected Information to a third party, BA must obtain, prior to making any such disclosure, (</w:t>
      </w:r>
      <w:proofErr w:type="spellStart"/>
      <w:r w:rsidR="002F68B4" w:rsidRPr="00342249">
        <w:t>i</w:t>
      </w:r>
      <w:proofErr w:type="spellEnd"/>
      <w:r w:rsidR="002F68B4" w:rsidRPr="00342249">
        <w:t xml:space="preserve">)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xml:space="preserve">, or as required by law.  BA shall not use or disclose Protected Information for fundraising or marketing purposes.  BA shall not disclose Protected Information to a health plan for payment or health care operations purposes if the patient has requested this special </w:t>
      </w:r>
      <w:proofErr w:type="gramStart"/>
      <w:r w:rsidR="002F68B4" w:rsidRPr="00342249">
        <w:t>restriction, and</w:t>
      </w:r>
      <w:proofErr w:type="gramEnd"/>
      <w:r w:rsidR="002F68B4" w:rsidRPr="00342249">
        <w:t xml:space="preserve">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w:t>
      </w:r>
      <w:r w:rsidR="002F68B4" w:rsidRPr="00342249">
        <w:lastRenderedPageBreak/>
        <w:t xml:space="preserve">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5B577E84"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w:t>
      </w:r>
      <w:proofErr w:type="spellStart"/>
      <w:r w:rsidR="002F68B4" w:rsidRPr="00342249">
        <w:t>i</w:t>
      </w:r>
      <w:proofErr w:type="spellEnd"/>
      <w:r w:rsidR="002F68B4" w:rsidRPr="00342249">
        <w:t>)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w:t>
      </w:r>
      <w:r w:rsidRPr="00342249">
        <w:lastRenderedPageBreak/>
        <w:t>documentation to enable CE to fulfill its obligations under the Privacy Rule, including, but not limited to, 45 C.F.R Section 164.526.</w:t>
      </w:r>
      <w:r w:rsidR="00D05AFA" w:rsidRPr="00342249">
        <w:t xml:space="preserve">  </w:t>
      </w:r>
      <w:r w:rsidRPr="00342249">
        <w:t>If an individual requests an amendment of Protected 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w:t>
      </w:r>
      <w:proofErr w:type="spellStart"/>
      <w:r w:rsidR="002F68B4" w:rsidRPr="00342249">
        <w:t>i</w:t>
      </w:r>
      <w:proofErr w:type="spellEnd"/>
      <w:r w:rsidR="002F68B4" w:rsidRPr="00342249">
        <w:t>)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w:t>
      </w:r>
      <w:r w:rsidR="002F68B4" w:rsidRPr="00342249">
        <w:lastRenderedPageBreak/>
        <w:t xml:space="preserve">this </w:t>
      </w:r>
      <w:r w:rsidR="00EA06C0">
        <w:t>BAA</w:t>
      </w:r>
      <w:r w:rsidR="002F68B4" w:rsidRPr="00342249">
        <w:t>, the BA must take reasonable steps to cure the breach or end the violation.  If the steps are unsuccessful, the BA must terminate the contractual arrangement with its subcontractor or 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w:t>
      </w:r>
      <w:proofErr w:type="spellStart"/>
      <w:r w:rsidRPr="00342249">
        <w:t>i</w:t>
      </w:r>
      <w:proofErr w:type="spellEnd"/>
      <w:r w:rsidRPr="00342249">
        <w:t>)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A134C13"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r w:rsidR="00D54F5F" w:rsidRPr="00D54F5F">
        <w:t xml:space="preserve"> Per the Secretary’s guidance, the City will accept destruction of electronic PHI in accordance with the standards enumerated in the NIST SP 800-88, Guidelines for Media Sanitization.  The City will accept destruction of PHI contained in paper records by shredding, burning, pulping, or pulverizing the records so that the PHI is rendered unreadable, indecipherable, and otherwise cannot be reconstructed</w:t>
      </w:r>
      <w:r w:rsidR="00D54F5F">
        <w:t xml:space="preserve">. </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lastRenderedPageBreak/>
        <w:t>Amendment to Comply with Law.</w:t>
      </w:r>
    </w:p>
    <w:p w14:paraId="30883B9E" w14:textId="38731636" w:rsidR="00B015C9" w:rsidRDefault="002F68B4" w:rsidP="00622A7F">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security or confidentiality of PHI.  The parties understand and agree that CE must receive satisfactory written assurance from BA that BA will adequately safeguard all Protected Information.  Upon the request of either party, the other party agrees to promptly </w:t>
      </w:r>
      <w:proofErr w:type="gramStart"/>
      <w:r w:rsidRPr="00342249">
        <w:t>enter into</w:t>
      </w:r>
      <w:proofErr w:type="gramEnd"/>
      <w:r w:rsidRPr="00342249">
        <w:t xml:space="preserve">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w:t>
      </w:r>
      <w:proofErr w:type="spellStart"/>
      <w:r w:rsidRPr="00342249">
        <w:t>i</w:t>
      </w:r>
      <w:proofErr w:type="spellEnd"/>
      <w:r w:rsidRPr="00342249">
        <w:t xml:space="preserve">)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6A73E21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w:t>
      </w:r>
      <w:r w:rsidR="00D54F5F">
        <w:t xml:space="preserve"> access,</w:t>
      </w:r>
      <w:r w:rsidRPr="00342249">
        <w:t xml:space="preserv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1929DD">
      <w:headerReference w:type="default" r:id="rId8"/>
      <w:footerReference w:type="default" r:id="rId9"/>
      <w:pgSz w:w="12240" w:h="15840"/>
      <w:pgMar w:top="1260" w:right="1440" w:bottom="900" w:left="144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2CD5" w14:textId="77777777" w:rsidR="00DD1DC6" w:rsidRDefault="00DD1DC6" w:rsidP="006641B0">
      <w:pPr>
        <w:spacing w:line="240" w:lineRule="auto"/>
      </w:pPr>
      <w:r>
        <w:separator/>
      </w:r>
    </w:p>
  </w:endnote>
  <w:endnote w:type="continuationSeparator" w:id="0">
    <w:p w14:paraId="342A14C5" w14:textId="77777777" w:rsidR="00DD1DC6" w:rsidRDefault="00DD1DC6"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3AA2" w14:textId="77777777" w:rsidR="002C4CEF" w:rsidRPr="002C4CEF" w:rsidRDefault="002C4CEF" w:rsidP="002C4CEF">
    <w:pPr>
      <w:tabs>
        <w:tab w:val="center" w:pos="4320"/>
        <w:tab w:val="right" w:pos="9360"/>
      </w:tabs>
      <w:spacing w:line="276" w:lineRule="auto"/>
      <w:rPr>
        <w:color w:val="00B050"/>
        <w:sz w:val="16"/>
        <w:szCs w:val="16"/>
      </w:rPr>
    </w:pPr>
    <w:r w:rsidRPr="002C4CEF">
      <w:rPr>
        <w:color w:val="00B050"/>
        <w:sz w:val="16"/>
        <w:szCs w:val="16"/>
      </w:rPr>
      <w:t>Contractor Name</w:t>
    </w:r>
    <w:r w:rsidRPr="002C4CEF">
      <w:rPr>
        <w:sz w:val="16"/>
        <w:szCs w:val="16"/>
      </w:rPr>
      <w:tab/>
    </w:r>
    <w:r w:rsidRPr="002C4CEF">
      <w:rPr>
        <w:sz w:val="16"/>
        <w:szCs w:val="16"/>
      </w:rPr>
      <w:fldChar w:fldCharType="begin"/>
    </w:r>
    <w:r w:rsidRPr="002C4CEF">
      <w:rPr>
        <w:sz w:val="16"/>
        <w:szCs w:val="16"/>
      </w:rPr>
      <w:instrText xml:space="preserve"> PAGE   \* MERGEFORMAT </w:instrText>
    </w:r>
    <w:r w:rsidRPr="002C4CEF">
      <w:rPr>
        <w:sz w:val="16"/>
        <w:szCs w:val="16"/>
      </w:rPr>
      <w:fldChar w:fldCharType="separate"/>
    </w:r>
    <w:r w:rsidRPr="002C4CEF">
      <w:rPr>
        <w:sz w:val="16"/>
        <w:szCs w:val="16"/>
      </w:rPr>
      <w:t>1</w:t>
    </w:r>
    <w:r w:rsidRPr="002C4CEF">
      <w:rPr>
        <w:noProof/>
        <w:sz w:val="16"/>
        <w:szCs w:val="16"/>
      </w:rPr>
      <w:fldChar w:fldCharType="end"/>
    </w:r>
    <w:r w:rsidRPr="002C4CEF">
      <w:rPr>
        <w:sz w:val="16"/>
        <w:szCs w:val="16"/>
      </w:rPr>
      <w:tab/>
    </w:r>
    <w:r w:rsidRPr="002C4CEF">
      <w:rPr>
        <w:color w:val="00B050"/>
        <w:sz w:val="16"/>
        <w:szCs w:val="16"/>
      </w:rPr>
      <w:t>Date</w:t>
    </w:r>
  </w:p>
  <w:p w14:paraId="63A84501" w14:textId="5BF2158A" w:rsidR="002C4CEF" w:rsidRPr="002C4CEF" w:rsidRDefault="002C4CEF" w:rsidP="002C4CEF">
    <w:pPr>
      <w:tabs>
        <w:tab w:val="center" w:pos="4680"/>
        <w:tab w:val="right" w:pos="9360"/>
      </w:tabs>
      <w:spacing w:line="276" w:lineRule="auto"/>
      <w:rPr>
        <w:sz w:val="16"/>
        <w:szCs w:val="16"/>
      </w:rPr>
    </w:pPr>
    <w:r w:rsidRPr="002C4CEF">
      <w:rPr>
        <w:sz w:val="16"/>
        <w:szCs w:val="16"/>
      </w:rPr>
      <w:t>P-</w:t>
    </w:r>
    <w:r w:rsidRPr="002C4CEF">
      <w:rPr>
        <w:color w:val="00B050"/>
        <w:sz w:val="16"/>
        <w:szCs w:val="16"/>
      </w:rPr>
      <w:t xml:space="preserve">XXX </w:t>
    </w:r>
    <w:r w:rsidRPr="002C4CEF">
      <w:rPr>
        <w:sz w:val="16"/>
        <w:szCs w:val="16"/>
      </w:rPr>
      <w:t xml:space="preserve">Appendix </w:t>
    </w:r>
    <w:r w:rsidRPr="002C4CEF">
      <w:rPr>
        <w:color w:val="00B050"/>
        <w:sz w:val="16"/>
        <w:szCs w:val="16"/>
      </w:rPr>
      <w:t>X</w:t>
    </w:r>
    <w:r w:rsidRPr="002C4CEF">
      <w:rPr>
        <w:sz w:val="16"/>
        <w:szCs w:val="16"/>
      </w:rPr>
      <w:t xml:space="preserve"> (BAA)</w:t>
    </w:r>
    <w:r w:rsidRPr="002C4CEF">
      <w:rPr>
        <w:color w:val="00B050"/>
        <w:sz w:val="16"/>
        <w:szCs w:val="16"/>
      </w:rPr>
      <w:tab/>
    </w:r>
    <w:r w:rsidRPr="002C4CEF">
      <w:rPr>
        <w:color w:val="00B050"/>
        <w:sz w:val="16"/>
        <w:szCs w:val="16"/>
      </w:rPr>
      <w:tab/>
      <w:t xml:space="preserve">         PeopleSoft Contract 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86AF" w14:textId="77777777" w:rsidR="00DD1DC6" w:rsidRDefault="00DD1DC6" w:rsidP="006641B0">
      <w:pPr>
        <w:spacing w:line="240" w:lineRule="auto"/>
      </w:pPr>
      <w:r>
        <w:separator/>
      </w:r>
    </w:p>
  </w:footnote>
  <w:footnote w:type="continuationSeparator" w:id="0">
    <w:p w14:paraId="78DD01F9" w14:textId="77777777" w:rsidR="00DD1DC6" w:rsidRDefault="00DD1DC6"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38D5" w14:textId="77777777" w:rsidR="005B0F5E" w:rsidRDefault="005B0F5E">
    <w:pPr>
      <w:pStyle w:val="Header"/>
    </w:pPr>
  </w:p>
  <w:p w14:paraId="3F942DB0" w14:textId="77777777" w:rsidR="00D64BBB" w:rsidRDefault="00D6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8662787">
    <w:abstractNumId w:val="0"/>
  </w:num>
  <w:num w:numId="2" w16cid:durableId="1688870297">
    <w:abstractNumId w:val="0"/>
  </w:num>
  <w:num w:numId="3" w16cid:durableId="960190557">
    <w:abstractNumId w:val="0"/>
  </w:num>
  <w:num w:numId="4" w16cid:durableId="1160270179">
    <w:abstractNumId w:val="0"/>
  </w:num>
  <w:num w:numId="5" w16cid:durableId="499273451">
    <w:abstractNumId w:val="0"/>
  </w:num>
  <w:num w:numId="6" w16cid:durableId="177039674">
    <w:abstractNumId w:val="0"/>
  </w:num>
  <w:num w:numId="7" w16cid:durableId="381949170">
    <w:abstractNumId w:val="0"/>
  </w:num>
  <w:num w:numId="8" w16cid:durableId="1745881881">
    <w:abstractNumId w:val="0"/>
  </w:num>
  <w:num w:numId="9" w16cid:durableId="285935615">
    <w:abstractNumId w:val="0"/>
  </w:num>
  <w:num w:numId="10" w16cid:durableId="2128808851">
    <w:abstractNumId w:val="7"/>
  </w:num>
  <w:num w:numId="11" w16cid:durableId="1143542968">
    <w:abstractNumId w:val="0"/>
  </w:num>
  <w:num w:numId="12" w16cid:durableId="2122911637">
    <w:abstractNumId w:val="0"/>
  </w:num>
  <w:num w:numId="13" w16cid:durableId="1905481823">
    <w:abstractNumId w:val="0"/>
  </w:num>
  <w:num w:numId="14" w16cid:durableId="10449449">
    <w:abstractNumId w:val="0"/>
  </w:num>
  <w:num w:numId="15" w16cid:durableId="493036811">
    <w:abstractNumId w:val="0"/>
  </w:num>
  <w:num w:numId="16" w16cid:durableId="1476793605">
    <w:abstractNumId w:val="0"/>
  </w:num>
  <w:num w:numId="17" w16cid:durableId="453330532">
    <w:abstractNumId w:val="0"/>
  </w:num>
  <w:num w:numId="18" w16cid:durableId="1258053086">
    <w:abstractNumId w:val="0"/>
  </w:num>
  <w:num w:numId="19" w16cid:durableId="1274048229">
    <w:abstractNumId w:val="0"/>
  </w:num>
  <w:num w:numId="20" w16cid:durableId="1684824016">
    <w:abstractNumId w:val="7"/>
  </w:num>
  <w:num w:numId="21" w16cid:durableId="1591887877">
    <w:abstractNumId w:val="8"/>
  </w:num>
  <w:num w:numId="22" w16cid:durableId="361132523">
    <w:abstractNumId w:val="1"/>
  </w:num>
  <w:num w:numId="23" w16cid:durableId="101075052">
    <w:abstractNumId w:val="6"/>
  </w:num>
  <w:num w:numId="24" w16cid:durableId="1814757705">
    <w:abstractNumId w:val="9"/>
  </w:num>
  <w:num w:numId="25" w16cid:durableId="2075084688">
    <w:abstractNumId w:val="4"/>
  </w:num>
  <w:num w:numId="26" w16cid:durableId="2100708456">
    <w:abstractNumId w:val="5"/>
  </w:num>
  <w:num w:numId="27" w16cid:durableId="1095903234">
    <w:abstractNumId w:val="3"/>
  </w:num>
  <w:num w:numId="28" w16cid:durableId="191504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IRZcKuuRRNvGO/31yQZxfkawXv4O8nElFNy/fCZEyTzhvXpDnKLol2jp3CpZMp3vfQtYwdmeEcAlYgFoWAzI8A==" w:salt="uwhMMx666fw5EtmErfMO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59FC"/>
    <w:rsid w:val="000632BA"/>
    <w:rsid w:val="00064E5E"/>
    <w:rsid w:val="00071E23"/>
    <w:rsid w:val="00086F63"/>
    <w:rsid w:val="00091C97"/>
    <w:rsid w:val="00096756"/>
    <w:rsid w:val="000A23BC"/>
    <w:rsid w:val="000B4417"/>
    <w:rsid w:val="000B5F64"/>
    <w:rsid w:val="000C4012"/>
    <w:rsid w:val="000C5D52"/>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426F6"/>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569A"/>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C4CEF"/>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69AE"/>
    <w:rsid w:val="00496E3A"/>
    <w:rsid w:val="004A1560"/>
    <w:rsid w:val="004A2F79"/>
    <w:rsid w:val="004C0C09"/>
    <w:rsid w:val="004C4C45"/>
    <w:rsid w:val="004C525B"/>
    <w:rsid w:val="004C6570"/>
    <w:rsid w:val="004D3B36"/>
    <w:rsid w:val="004E2E66"/>
    <w:rsid w:val="004E3901"/>
    <w:rsid w:val="004F320A"/>
    <w:rsid w:val="0050062B"/>
    <w:rsid w:val="005021A8"/>
    <w:rsid w:val="00504B9B"/>
    <w:rsid w:val="00512477"/>
    <w:rsid w:val="00512EC4"/>
    <w:rsid w:val="0051421C"/>
    <w:rsid w:val="00517DDE"/>
    <w:rsid w:val="00524C7F"/>
    <w:rsid w:val="00551BFA"/>
    <w:rsid w:val="00560DE0"/>
    <w:rsid w:val="00566921"/>
    <w:rsid w:val="00567007"/>
    <w:rsid w:val="00582329"/>
    <w:rsid w:val="00592602"/>
    <w:rsid w:val="005930BA"/>
    <w:rsid w:val="0059419B"/>
    <w:rsid w:val="005A57AA"/>
    <w:rsid w:val="005A64A3"/>
    <w:rsid w:val="005B07FF"/>
    <w:rsid w:val="005B0F5E"/>
    <w:rsid w:val="005F0009"/>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2BC2"/>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630A"/>
    <w:rsid w:val="007079E2"/>
    <w:rsid w:val="007266BA"/>
    <w:rsid w:val="00751CDD"/>
    <w:rsid w:val="00760A0A"/>
    <w:rsid w:val="00765E07"/>
    <w:rsid w:val="00773650"/>
    <w:rsid w:val="007736BE"/>
    <w:rsid w:val="00776538"/>
    <w:rsid w:val="007828AB"/>
    <w:rsid w:val="00790E52"/>
    <w:rsid w:val="007916B9"/>
    <w:rsid w:val="0079342E"/>
    <w:rsid w:val="007B51C1"/>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6440"/>
    <w:rsid w:val="008A7890"/>
    <w:rsid w:val="008A7D1A"/>
    <w:rsid w:val="008B04AB"/>
    <w:rsid w:val="008B17CD"/>
    <w:rsid w:val="008B36C2"/>
    <w:rsid w:val="008B4DEB"/>
    <w:rsid w:val="008C082E"/>
    <w:rsid w:val="008C2D53"/>
    <w:rsid w:val="008D111A"/>
    <w:rsid w:val="008E1F98"/>
    <w:rsid w:val="008F0EDE"/>
    <w:rsid w:val="008F107E"/>
    <w:rsid w:val="008F227D"/>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3021"/>
    <w:rsid w:val="00994DB2"/>
    <w:rsid w:val="009B7E45"/>
    <w:rsid w:val="009C2C84"/>
    <w:rsid w:val="009D0331"/>
    <w:rsid w:val="009D2E27"/>
    <w:rsid w:val="009E2902"/>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04EBA"/>
    <w:rsid w:val="00C10F3E"/>
    <w:rsid w:val="00C11DC4"/>
    <w:rsid w:val="00C16D66"/>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F5"/>
    <w:rsid w:val="00D446E2"/>
    <w:rsid w:val="00D5457A"/>
    <w:rsid w:val="00D54F5F"/>
    <w:rsid w:val="00D55561"/>
    <w:rsid w:val="00D57DE8"/>
    <w:rsid w:val="00D642B8"/>
    <w:rsid w:val="00D64BBB"/>
    <w:rsid w:val="00D72E99"/>
    <w:rsid w:val="00D80608"/>
    <w:rsid w:val="00D84549"/>
    <w:rsid w:val="00D85BE9"/>
    <w:rsid w:val="00D9228C"/>
    <w:rsid w:val="00DA179B"/>
    <w:rsid w:val="00DA313E"/>
    <w:rsid w:val="00DB5057"/>
    <w:rsid w:val="00DC0B37"/>
    <w:rsid w:val="00DC281E"/>
    <w:rsid w:val="00DC300B"/>
    <w:rsid w:val="00DD0E29"/>
    <w:rsid w:val="00DD0F4A"/>
    <w:rsid w:val="00DD1DC6"/>
    <w:rsid w:val="00DE6230"/>
    <w:rsid w:val="00DF73C5"/>
    <w:rsid w:val="00E01CA5"/>
    <w:rsid w:val="00E100AD"/>
    <w:rsid w:val="00E11838"/>
    <w:rsid w:val="00E11D30"/>
    <w:rsid w:val="00E12014"/>
    <w:rsid w:val="00E1246E"/>
    <w:rsid w:val="00E164C6"/>
    <w:rsid w:val="00E20607"/>
    <w:rsid w:val="00E25CCF"/>
    <w:rsid w:val="00E30FB6"/>
    <w:rsid w:val="00E32C25"/>
    <w:rsid w:val="00E33D0A"/>
    <w:rsid w:val="00E35668"/>
    <w:rsid w:val="00E35B0E"/>
    <w:rsid w:val="00E37C20"/>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812B4"/>
    <w:rsid w:val="00F90FA5"/>
    <w:rsid w:val="00F924FF"/>
    <w:rsid w:val="00F93F26"/>
    <w:rsid w:val="00FA7262"/>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unhideWhenUsed/>
    <w:rsid w:val="00AC3BE4"/>
    <w:rPr>
      <w:sz w:val="20"/>
      <w:szCs w:val="20"/>
    </w:rPr>
  </w:style>
  <w:style w:type="character" w:customStyle="1" w:styleId="CommentTextChar">
    <w:name w:val="Comment Text Char"/>
    <w:basedOn w:val="DefaultParagraphFont"/>
    <w:link w:val="CommentText"/>
    <w:uiPriority w:val="99"/>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EFBB-82DC-4759-9EE0-C3A983E8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Chang, Patrick (HSS)</cp:lastModifiedBy>
  <cp:revision>10</cp:revision>
  <cp:lastPrinted>2015-11-03T00:37:00Z</cp:lastPrinted>
  <dcterms:created xsi:type="dcterms:W3CDTF">2024-09-12T04:08:00Z</dcterms:created>
  <dcterms:modified xsi:type="dcterms:W3CDTF">2025-05-20T22:34:00Z</dcterms:modified>
</cp:coreProperties>
</file>